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-464820</wp:posOffset>
                </wp:positionV>
                <wp:extent cx="619125" cy="4667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94410" y="710565"/>
                          <a:ext cx="6191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5pt;margin-top:-36.6pt;height:36.75pt;width:48.75pt;z-index:251659264;mso-width-relative:page;mso-height-relative:page;" fillcolor="#FFFFFF" filled="t" stroked="t" coordsize="21600,21600" o:gfxdata="UEsDBAoAAAAAAIdO4kAAAAAAAAAAAAAAAAAEAAAAZHJzL1BLAwQUAAAACACHTuJAPTqGWtYAAAAH&#10;AQAADwAAAGRycy9kb3ducmV2LnhtbE2PTW+DMAyG75P6HyJP6q0NlHVDjNBDpd2mSnSfx5S4gEYc&#10;SgJ0/37eabvZ8qPXz5vvrrYTEw6+daQgXkcgkCpnWqoVvL48rVIQPmgyunOECr7Rw65Y3OQ6M26m&#10;EqdjqAWHkM+0giaEPpPSVw1a7deuR+Lb2Q1WB16HWppBzxxuO7mJontpdUv8odE97husvo6jVXCY&#10;RvdWv2+rD/qcS5+eL+VzelFqeRtHjyACXsMfDL/6rA4FO53cSMaLTsEqTraM8vCQbEAwkd5xuZOC&#10;BGSRy//+xQ9QSwMEFAAAAAgAh07iQFph9phHAgAAgQQAAA4AAABkcnMvZTJvRG9jLnhtbK1UwY7T&#10;MBC9I/EPlu80SUm7tGq6Kl0VIVXsSgVxdh2nieR4jO02KR8Af7AnLtz5rn4HYyfd7QIHhOjBnfGM&#10;3sw8v8nsuq0lOQhjK1AZTQYxJUJxyCu1y+iH96sXryixjqmcSVAio0dh6fX8+bNZo6diCCXIXBiC&#10;IMpOG53R0jk9jSLLS1EzOwAtFAYLMDVz6JpdlBvWIHoto2Ecj6MGTK4NcGEt3t50QToP+EUhuLst&#10;CisckRnF3lw4TTi3/ozmMzbdGabLivdtsH/oomaVwqIPUDfMMbI31W9QdcUNWCjcgEMdQVFUXIQZ&#10;cJok/mWaTcm0CLMgOVY/0GT/Hyx/d7gzpMozOqREsRqf6HT/9fTtx+n7FzL09DTaTjFrozHPta+h&#10;xWc+31u89FO3han9P85DMD6ZpGmCbB8zepXEo/Goo1m0jnAMj5NJMhxRwjGejsdXaGOd6BFGG+ve&#10;CKiJNzJq8BUDueywtq5LPaf4qhZkla8qKYNjdtulNOTA8MVX4dejP0mTijTYyctRHJCfxOzfQGC7&#10;UvmCIqisb8yT1ZHiLddu257BLeRHJNBAp0Cr+arC4dbMujtmUHJIF66Ru8WjkIC9QW9RUoL5/Kd7&#10;n49KwCglDUo4o/bTnhlBiXyrUCOTJE295oOTjq6G6JjLyPYyovb1EpCzBBdW82D6fCfPZmGg/ojb&#10;tvBVMcQUx9oZdWdz6brFwm3lYrEISahyzdxabTT30J4wBYu9g6IKL+lp6rhBBXgHdR600O+kX6RL&#10;P2Q9fjn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9OoZa1gAAAAcBAAAPAAAAAAAAAAEAIAAA&#10;ACIAAABkcnMvZG93bnJldi54bWxQSwECFAAUAAAACACHTuJAWmH2mEcCAACBBAAADgAAAAAAAAAB&#10;ACAAAAAlAQAAZHJzL2Uyb0RvYy54bWxQSwUGAAAAAAYABgBZAQAA3gUAAAAA&#10;">
                <v:fill on="t" focussize="0,0"/>
                <v:stroke weight="0.5pt" color="#FFFFFF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highlight w:val="none"/>
        </w:rPr>
        <w:t>大中型工程项目、大型复杂规划项目分类表</w:t>
      </w:r>
    </w:p>
    <w:bookmarkEnd w:id="0"/>
    <w:tbl>
      <w:tblPr>
        <w:tblStyle w:val="5"/>
        <w:tblW w:w="88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227"/>
        <w:gridCol w:w="894"/>
        <w:gridCol w:w="6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</w:rPr>
              <w:t>项目</w:t>
            </w:r>
            <w:r>
              <w:rPr>
                <w:rStyle w:val="8"/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</w:rPr>
              <w:t>标</w:t>
            </w:r>
            <w:r>
              <w:rPr>
                <w:rStyle w:val="8"/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Style w:val="8"/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highlight w:val="none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勘查技术与工程</w:t>
            </w: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含地基基础</w:t>
            </w: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、井巷工程）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大型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钻探、坑探工程：合同金额≥500万元；地基基础工程：合同金额≥5000万元；井巷工程：合同金额≥10000万元。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中型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钻探、坑探工程：300万元≤合同金额＜500万元；地基基础工程：1000万元≤合同金额＜5000万元；井巷工程5000万元≤合同金额＜10000万元。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地质灾害治理工程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大型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治理经费≥2000万元；勘</w:t>
            </w: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查</w:t>
            </w: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经费≥50万元；保护人数≥500人；保护财产≥5000万元。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中型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500万元≤治理经费＜2000万元；30万元≤</w:t>
            </w: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勘查</w:t>
            </w: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经费＜50万元；100人≤保护人数＜500人；500万元≤保护财产＜5000万元。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物探工程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大型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工程物探：采用2种以上物探方法，物探勘查面积≥10万㎡，物探合同金额≥100万元；矿产物探：采用2种以上物探方法，物探勘查面积≥5平方公</w:t>
            </w: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测绘与地理信息工程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大型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工程类单项立项或合同金额≥500万元；</w:t>
            </w:r>
          </w:p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系统软件研发类项目合同金额≥200万元。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国土空间规划体系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总体规划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大型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复杂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国家、省、市县国土空间总体规划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详细规划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大型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复杂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市县详细规划（暂按原城乡规划体系中的城市详细规划要求执行）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专项规划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大型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复杂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跨行政区域或流域的国土空间规划；设区市及县级城市涉及空间利用的基础设施、公共服务设施，以及生态环境保护、历史文化保护等专项规划；省级以上自然保护地等专项规划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52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原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城乡规划体系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城镇体系规划与城市总体规划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大型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复杂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国家、省级城镇体系规划；设区市及县城城市总体规划、县（市）域总体规划；规划面积20平方公里及以上分区规划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城市详细规划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大型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复杂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设区市及县城的城市中心区，位于老城区的、规划面积5平方公里及以上的控制性详细规划，位于新城区的、规划面积10平方公里及以上的控制性详细规划；老城区或新城中心区规划面积1.0平方公里以上的修建性详细规划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专项规划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大型</w:t>
            </w:r>
          </w:p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复杂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设区市及县城的总体城市设计，设区市重点地区城市设计；国家级、省级、设区市及县级城市综合交通、市政基础设施、公共服务设施、历史文化保护专项规划；国家级、省级历史文化名城保护规划；国家级、省级风景名胜区总体规划</w:t>
            </w:r>
            <w:r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海洋工程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大型</w:t>
            </w:r>
          </w:p>
        </w:tc>
        <w:tc>
          <w:tcPr>
            <w:tcW w:w="6181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Style w:val="8"/>
                <w:rFonts w:hint="default"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Style w:val="8"/>
                <w:rFonts w:ascii="Times New Roman" w:hAnsi="Times New Roman" w:eastAsia="仿宋_GB2312" w:cs="Times New Roman"/>
                <w:bCs/>
                <w:color w:val="000000"/>
                <w:kern w:val="0"/>
                <w:sz w:val="24"/>
                <w:szCs w:val="24"/>
                <w:highlight w:val="none"/>
              </w:rPr>
              <w:t>合同金额≥100万元。</w:t>
            </w:r>
          </w:p>
        </w:tc>
      </w:tr>
    </w:tbl>
    <w:p>
      <w:pPr>
        <w:rPr>
          <w:color w:val="00000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82C74"/>
    <w:rsid w:val="1E382C74"/>
    <w:rsid w:val="38C6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/>
      <w:kern w:val="0"/>
      <w:sz w:val="22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style01"/>
    <w:basedOn w:val="6"/>
    <w:qFormat/>
    <w:uiPriority w:val="0"/>
    <w:rPr>
      <w:rFonts w:hint="eastAsia" w:ascii="华文中宋" w:hAnsi="华文中宋" w:eastAsia="华文中宋"/>
      <w:color w:val="000000"/>
      <w:sz w:val="44"/>
      <w:szCs w:val="44"/>
    </w:rPr>
  </w:style>
  <w:style w:type="character" w:customStyle="1" w:styleId="8">
    <w:name w:val="fontstyle11"/>
    <w:basedOn w:val="6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2019-09-30T06:51:00Z</dcterms:created>
  <dc:creator>麦芽糖</dc:creator>
  <cp:lastModifiedBy>麦芽糖</cp:lastModifiedBy>
  <dcterms:modified xsi:type="dcterms:W3CDTF">2019-09-30T06:52:05Z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