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4A" w:rsidRPr="00117A4A" w:rsidRDefault="00117A4A" w:rsidP="00117A4A">
      <w:pPr>
        <w:widowControl/>
        <w:shd w:val="clear" w:color="auto" w:fill="FFFFFF"/>
        <w:spacing w:line="450" w:lineRule="atLeast"/>
        <w:jc w:val="center"/>
        <w:rPr>
          <w:rFonts w:ascii="微软雅黑" w:eastAsia="微软雅黑" w:hAnsi="微软雅黑" w:cs="宋体"/>
          <w:color w:val="000000"/>
          <w:kern w:val="0"/>
          <w:sz w:val="32"/>
          <w:szCs w:val="32"/>
        </w:rPr>
      </w:pPr>
      <w:bookmarkStart w:id="0" w:name="_GoBack"/>
      <w:r w:rsidRPr="00117A4A">
        <w:rPr>
          <w:rFonts w:ascii="微软雅黑" w:eastAsia="微软雅黑" w:hAnsi="微软雅黑" w:cs="宋体" w:hint="eastAsia"/>
          <w:color w:val="000000"/>
          <w:kern w:val="0"/>
          <w:sz w:val="32"/>
          <w:szCs w:val="32"/>
        </w:rPr>
        <w:t>矿山地质环境保护规定</w:t>
      </w:r>
    </w:p>
    <w:bookmarkEnd w:id="0"/>
    <w:p w:rsidR="00117A4A" w:rsidRDefault="00117A4A" w:rsidP="00117A4A">
      <w:pPr>
        <w:pStyle w:val="a3"/>
        <w:shd w:val="clear" w:color="auto" w:fill="FFFFFF"/>
        <w:spacing w:before="0" w:beforeAutospacing="0" w:after="0" w:afterAutospacing="0" w:line="480" w:lineRule="atLeast"/>
        <w:rPr>
          <w:color w:val="000000"/>
        </w:rPr>
      </w:pPr>
      <w:r>
        <w:rPr>
          <w:rFonts w:hint="eastAsia"/>
          <w:color w:val="000000"/>
        </w:rPr>
        <w:t>（2009年3月2日国土资源部令第44号公布根据2015年5月6日国土资源部第2次部务会议《国土资源部关于修改〈地质灾害危险性评估单位资质管理办法〉等5部规章的决定》第一次修正根据2016年1月5日国土资源部第1次部务会议《国土资源部关于修改和废止部分规章的决定》第二次修正根据2019年7月16日自然资源部第2次部务会议《自然资源部关于第一批废止修改的部门规章的决定》第三次修正）</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第一章总则</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一条为保护矿山地质环境，减少矿产资源勘查开采活动造成的矿山地质环境破坏，保护人民生命和财产安全，促进矿产资源的合理开发利用和经济社会、资源环境的协调发展，根据《中华人民共和国矿产资源法》《地质灾害防治条例》《土地复垦条例》，制定本规定。</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第二条因矿产资源勘查开采等活动造成矿区地面塌陷、地裂缝、崩塌、滑坡，含水层破坏，地形地貌景观破坏等的预防和治理恢复，适用本规定。</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开采矿产资源涉及土地复垦的，依照国家有关土地复垦的法律法规执行。</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第三条矿山地质环境保护，坚持预防为主、防治结合，谁开发谁保护、谁破坏谁治理、谁投资谁受益的原则。</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第四条自然资源部负责全国矿山地质环境的保护工作。</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县级以上地方自然资源主管部门负责本行政区的矿山地质环境保护工作。</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第五条国家鼓励开展矿山地质环境保护科学技术研究，普及相关科学技术知识，推广先进技术和方法，制定有关技术标准，提高矿山地质环境保护的科学技术水平。</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第六条国家鼓励企业、社会团体或者个人投资，对已关闭或者废弃矿山的地质环境进行治理恢复。</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第七条任何单位和个人对破坏矿山地质环境的违法行为都有权进行检举和控告。</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第二章规划</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第八条自然资源部负责全国矿山地质环境的调查评价工作。</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lastRenderedPageBreak/>
        <w:t xml:space="preserve">　　省、自治区、直辖市自然资源主管部门负责本行政区域内的矿山地质环境调查评价工作。</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市、县自然资源主管部门根据本地区的实际情况，开展本行政区域的矿山地质环境调查评价工作。</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第九条自然资源部依据全国矿山地质环境调查评价结果，编制全国矿山地质环境保护规划。</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省、自治区、直辖市自然资源主管部门依据全国矿山地质环境保护规划，结合本行政区域的矿山地质环境调查评价结果，编制省、自治区、直辖市的矿山地质环境保护规划，报省、自治区、直辖市人民政府批准实施。</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市、县级矿山地质环境保护规划的编制和审批，由省、自治区、直辖市自然资源主管部门规定。</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第十条矿山地质环境保护规划应当包括下列内容：</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（一）矿山地质环境现状和发展趋势；</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（二）矿山地质环境保护的指导思想、原则和目标；</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（三）矿山地质环境保护的主要任务；</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（四）矿山地质环境保护的重点工程；</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（五）规划实施保障措施。</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第十一条矿山地质环境保护规划应当符合矿产资源规划，并与土地利用总体规划、地质灾害防治规划等相协调。</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第三章治理恢复</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第十二条采矿权申请人申请办理采矿许可证时，应当编制矿山地质环境保护与土地复垦方案，报有批准权的自然资源主管部门批准。</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矿山地质环境保护与土地复垦方案应当包括下列内容：</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（一）矿山基本情况；</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（二）矿区基础信息；</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（三）矿山地质环境影响和土地损毁评估；</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（四）矿山地质环境治理与土地复垦可行性分析；</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（五）矿山地质环境治理与土地复垦工程；</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（六）矿山地质环境治理与土地复垦工作部署；</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lastRenderedPageBreak/>
        <w:t xml:space="preserve">　　（七）经费估算与进度安排；</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（八）保障措施与效益分析。</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第十三条采矿权申请人未编制矿山地质环境保护与土地复垦方案，或者编制的矿山地质环境保护与土地复垦方案不符合要求的，有批准权的自然资源主管部门应当告知申请人补正；逾期</w:t>
      </w:r>
      <w:proofErr w:type="gramStart"/>
      <w:r>
        <w:rPr>
          <w:rFonts w:hint="eastAsia"/>
          <w:color w:val="000000"/>
        </w:rPr>
        <w:t>不</w:t>
      </w:r>
      <w:proofErr w:type="gramEnd"/>
      <w:r>
        <w:rPr>
          <w:rFonts w:hint="eastAsia"/>
          <w:color w:val="000000"/>
        </w:rPr>
        <w:t>补正的，不予受理其采矿权申请。</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第十四条采矿权人扩大开采规模、变更矿区范围或者开采方式的，应当重新编制矿山地质环境保护与土地复垦方案，并报原批准机关批准。</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第十五条采矿权人应当严格执行经批准的矿山地质环境保护与土地复垦方案。</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矿山地质环境保护与治理恢复工程的设计和施工，应当与矿产资源开采活动同步进行。</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第十六条开采矿产资源造成矿山地质环境破坏的，由采矿权人负责治理恢复，治理恢复费用列入生产成本。</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矿山地质环境治理恢复责任人灭失的，由矿山所在地的市、县自然资源主管部门，使用经市、县人民政府批准设立的政府专项资金进行治理恢复。</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自然资源部，省、自治区、直辖市自然资源主管部门依据矿山地质环境保护规划，按照矿山地质环境治理工程项目管理制度的要求，对市、县自然资源主管部门给予资金补助。</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十七条采矿权人应当依照国家有关规定，计提矿山地质环境治理恢复基金。基金由企业自主使用，根据其矿山地质环境保护与土地复垦方案确定的经费预算、工程实施计划、进度安排等，统筹用于开展矿山地质环境治理恢复和土地复垦。</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第十八条采矿权人应当按照矿山地质环境保护与土地复垦方案的要求履行矿山地质环境保护与土地复垦义务。</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采矿权人未履行矿山地质环境保护与土地复垦义务，或者未达到矿山地质环境保护与土地复垦方案要求，有关自然资源主管部门应当责令采矿权人限期履行矿山地质环境保护与土地复垦义务。</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lastRenderedPageBreak/>
        <w:t xml:space="preserve">　　第十九条矿山关闭前，采矿权人应当完成矿山地质环境保护与土地复垦义务。采矿权人在申请办理闭坑手续时，应当经自然资源主管部门验收合格，并提交验收合格文件。</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第二十条采矿权转让的，矿山地质环境保护与土地复垦的义务同时转让。采矿权受让人应当依照本规定，履行矿山地质环境保护与土地复垦的义务。</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十一条以槽探、坑探方式勘查矿产资源，探矿权人在矿产资源勘查活动结束后未申请采矿权的，应当采取相应的治理恢复措施，对其勘查矿产资源遗留的钻孔、探井、探槽、巷道进行回填、封闭，对形成的危岩、危坡等进行治理恢复，消除安全隐患。</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第四章监督管理</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第二十二条县级以上自然资源主管部门对采矿权人履行矿山地质环境保护与土地复垦义务的情况进行监督检查。</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相关责任人应当配合县级以上自然资源主管部门的监督检查，并提供必要的资料，如实反映情况。</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第二十三条县级以上自然资源主管部门应当建立本行政区域内的矿山地质环境监测工作体系，健全监测网络，对矿山地质环境进行动态监测，指导、监督采矿权人开展矿山地质环境监测。</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采矿权人应当定期向矿山所在地的县级自然资源主管部门报告矿山地质环境情况，如实提交监测资料。</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县级自然资源主管部门应当定期将汇总的矿山地质环境监测资料报上一级自然资源主管部门。</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十四条县级以上自然资源主管部门在履行矿山地质环境保护的监督检查职责时，有权对矿山地质环境与土地复垦方案确立的治理恢复措施落实情况和矿山地质环境监测情况进行现场检查，对违反本规定的行为有权制止并依法查处。</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第二十五条开采矿产资源等活动造成矿山地质环境突发事件的，有关责任人应当采取应急措施，并立即向当地人民政府报告。</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第五章法律责任</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lastRenderedPageBreak/>
        <w:t xml:space="preserve">　　第二十六条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十七条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十八条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第二十九条违反本规定第二十一条规定，探矿权人未采取治理恢复措施的，由县级以上自然资源主管部门责令限期改正；逾期拒不改正的，处3万元以下的罚款，5年内不受理其新的探矿权、采矿权申请。</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三十条违反本规定，扰乱、阻碍矿山地质环境保护与治理恢复工作，侵占、损坏、损毁矿山地质环境监测设施或者矿山地质环境保护与治理恢复设施的，由县级以上自然资源主管部门责令停止违法行为，限期恢复原状或者采取补救措施，并处3万元以下的罚款；构成犯罪的，依法追究刑事责任。</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第三十一条县级以上自然资源主管部门工作人员违反本规定，在矿山地质环境保护与治理恢复监督管理中玩忽职守、滥用职权、徇私舞弊的，对相关责任人依法给予处分；构成犯罪的，依法追究刑事责任。</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第六章附则</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第三十二条本规定实施前已建和在建矿山，采矿权人应当依照本规定编制矿山地质环境保护与土地复垦方案，报原采矿许可证审批机关批准。</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第三十三条本规定自2009年5月1日起施行。</w:t>
      </w:r>
    </w:p>
    <w:p w:rsidR="00117A4A" w:rsidRDefault="00117A4A" w:rsidP="00117A4A">
      <w:pPr>
        <w:pStyle w:val="a3"/>
        <w:shd w:val="clear" w:color="auto" w:fill="FFFFFF"/>
        <w:spacing w:before="0" w:beforeAutospacing="0" w:after="0" w:afterAutospacing="0" w:line="480" w:lineRule="atLeast"/>
        <w:rPr>
          <w:rFonts w:hint="eastAsia"/>
          <w:color w:val="000000"/>
        </w:rPr>
      </w:pPr>
      <w:r>
        <w:rPr>
          <w:rFonts w:hint="eastAsia"/>
          <w:color w:val="000000"/>
        </w:rPr>
        <w:t xml:space="preserve">　　</w:t>
      </w:r>
    </w:p>
    <w:p w:rsidR="00D33175" w:rsidRPr="00117A4A" w:rsidRDefault="00D33175"/>
    <w:sectPr w:rsidR="00D33175" w:rsidRPr="00117A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A"/>
    <w:rsid w:val="00117A4A"/>
    <w:rsid w:val="00D33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6DDA2-94F8-494D-9071-FCE6B7A4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A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207">
      <w:bodyDiv w:val="1"/>
      <w:marLeft w:val="0"/>
      <w:marRight w:val="0"/>
      <w:marTop w:val="0"/>
      <w:marBottom w:val="0"/>
      <w:divBdr>
        <w:top w:val="none" w:sz="0" w:space="0" w:color="auto"/>
        <w:left w:val="none" w:sz="0" w:space="0" w:color="auto"/>
        <w:bottom w:val="none" w:sz="0" w:space="0" w:color="auto"/>
        <w:right w:val="none" w:sz="0" w:space="0" w:color="auto"/>
      </w:divBdr>
    </w:div>
    <w:div w:id="733090626">
      <w:bodyDiv w:val="1"/>
      <w:marLeft w:val="0"/>
      <w:marRight w:val="0"/>
      <w:marTop w:val="0"/>
      <w:marBottom w:val="0"/>
      <w:divBdr>
        <w:top w:val="none" w:sz="0" w:space="0" w:color="auto"/>
        <w:left w:val="none" w:sz="0" w:space="0" w:color="auto"/>
        <w:bottom w:val="none" w:sz="0" w:space="0" w:color="auto"/>
        <w:right w:val="none" w:sz="0" w:space="0" w:color="auto"/>
      </w:divBdr>
      <w:divsChild>
        <w:div w:id="1306155839">
          <w:marLeft w:val="0"/>
          <w:marRight w:val="0"/>
          <w:marTop w:val="0"/>
          <w:marBottom w:val="0"/>
          <w:divBdr>
            <w:top w:val="none" w:sz="0" w:space="0" w:color="auto"/>
            <w:left w:val="none" w:sz="0" w:space="0" w:color="auto"/>
            <w:bottom w:val="single" w:sz="6" w:space="0" w:color="D8D7D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周艳</dc:creator>
  <cp:keywords/>
  <dc:description/>
  <cp:lastModifiedBy>周艳</cp:lastModifiedBy>
  <cp:revision>1</cp:revision>
  <dcterms:created xsi:type="dcterms:W3CDTF">2019-11-25T08:01:00Z</dcterms:created>
  <dcterms:modified xsi:type="dcterms:W3CDTF">2019-11-25T08:02:00Z</dcterms:modified>
</cp:coreProperties>
</file>